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D3B4E" w14:textId="3490DB00" w:rsidR="002747CB" w:rsidRPr="00B6472B" w:rsidRDefault="00187B50">
      <w:pPr>
        <w:rPr>
          <w:b/>
          <w:bCs/>
          <w:lang w:val="en-US"/>
        </w:rPr>
      </w:pPr>
      <w:r w:rsidRPr="00B6472B">
        <w:rPr>
          <w:b/>
          <w:bCs/>
          <w:lang w:val="en-US"/>
        </w:rPr>
        <w:t>SWSBC 202</w:t>
      </w:r>
      <w:r w:rsidR="002D144A">
        <w:rPr>
          <w:b/>
          <w:bCs/>
          <w:lang w:val="en-US"/>
        </w:rPr>
        <w:t>1</w:t>
      </w:r>
      <w:r w:rsidRPr="00B6472B">
        <w:rPr>
          <w:b/>
          <w:bCs/>
          <w:lang w:val="en-US"/>
        </w:rPr>
        <w:t xml:space="preserve"> Abstract submission form</w:t>
      </w:r>
      <w:r w:rsidR="004545C3">
        <w:rPr>
          <w:b/>
          <w:bCs/>
          <w:lang w:val="en-US"/>
        </w:rPr>
        <w:t xml:space="preserve">, return by </w:t>
      </w:r>
      <w:r w:rsidR="002D144A">
        <w:rPr>
          <w:b/>
          <w:bCs/>
          <w:lang w:val="en-US"/>
        </w:rPr>
        <w:t>Wednesday 30</w:t>
      </w:r>
      <w:r w:rsidR="00A90855" w:rsidRPr="00A90855">
        <w:rPr>
          <w:b/>
          <w:bCs/>
          <w:vertAlign w:val="superscript"/>
          <w:lang w:val="en-US"/>
        </w:rPr>
        <w:t>th</w:t>
      </w:r>
      <w:r w:rsidR="00A90855">
        <w:rPr>
          <w:b/>
          <w:bCs/>
          <w:lang w:val="en-US"/>
        </w:rPr>
        <w:t xml:space="preserve"> June </w:t>
      </w:r>
      <w:r w:rsidR="004545C3">
        <w:rPr>
          <w:b/>
          <w:bCs/>
          <w:lang w:val="en-US"/>
        </w:rPr>
        <w:t>202</w:t>
      </w:r>
      <w:r w:rsidR="009452C5">
        <w:rPr>
          <w:b/>
          <w:bCs/>
          <w:lang w:val="en-US"/>
        </w:rPr>
        <w:t>1</w:t>
      </w:r>
    </w:p>
    <w:p w14:paraId="2EA53AE9" w14:textId="77777777" w:rsidR="00187B50" w:rsidRDefault="00187B50">
      <w:pPr>
        <w:rPr>
          <w:lang w:val="en-US"/>
        </w:rPr>
      </w:pPr>
    </w:p>
    <w:p w14:paraId="690B6931" w14:textId="7195298F" w:rsidR="004923AD" w:rsidRDefault="00B6472B" w:rsidP="004923AD">
      <w:pPr>
        <w:pBdr>
          <w:between w:val="single" w:sz="4" w:space="1" w:color="auto"/>
        </w:pBdr>
        <w:rPr>
          <w:lang w:val="en-US"/>
        </w:rPr>
      </w:pPr>
      <w:r>
        <w:rPr>
          <w:lang w:val="en-US"/>
        </w:rPr>
        <w:t xml:space="preserve">Presenter </w:t>
      </w:r>
      <w:r w:rsidR="005F249C">
        <w:rPr>
          <w:lang w:val="en-US"/>
        </w:rPr>
        <w:t>Name</w:t>
      </w:r>
    </w:p>
    <w:p w14:paraId="2792CEF3" w14:textId="1BF0B3B3" w:rsidR="005F249C" w:rsidRDefault="00B6472B" w:rsidP="004923AD">
      <w:pPr>
        <w:pBdr>
          <w:between w:val="single" w:sz="4" w:space="1" w:color="auto"/>
        </w:pBdr>
        <w:rPr>
          <w:lang w:val="en-US"/>
        </w:rPr>
      </w:pPr>
      <w:r>
        <w:rPr>
          <w:lang w:val="en-US"/>
        </w:rPr>
        <w:t xml:space="preserve">Presenter </w:t>
      </w:r>
      <w:r w:rsidR="005F249C">
        <w:rPr>
          <w:lang w:val="en-US"/>
        </w:rPr>
        <w:t>Email</w:t>
      </w:r>
    </w:p>
    <w:p w14:paraId="5925300D" w14:textId="3F497AD7" w:rsidR="005F249C" w:rsidRDefault="00B6472B" w:rsidP="004923AD">
      <w:pPr>
        <w:pBdr>
          <w:between w:val="single" w:sz="4" w:space="1" w:color="auto"/>
        </w:pBdr>
        <w:rPr>
          <w:lang w:val="en-US"/>
        </w:rPr>
      </w:pPr>
      <w:r>
        <w:rPr>
          <w:lang w:val="en-US"/>
        </w:rPr>
        <w:t>Laboratory / PI</w:t>
      </w:r>
    </w:p>
    <w:p w14:paraId="2228AA20" w14:textId="32CF465B" w:rsidR="005F249C" w:rsidRDefault="00B6472B" w:rsidP="00D853AE">
      <w:pPr>
        <w:pBdr>
          <w:between w:val="single" w:sz="4" w:space="1" w:color="auto"/>
        </w:pBdr>
        <w:tabs>
          <w:tab w:val="left" w:pos="2707"/>
        </w:tabs>
        <w:rPr>
          <w:lang w:val="en-US"/>
        </w:rPr>
      </w:pPr>
      <w:r>
        <w:rPr>
          <w:lang w:val="en-US"/>
        </w:rPr>
        <w:t>Mail a</w:t>
      </w:r>
      <w:r w:rsidR="005F249C">
        <w:rPr>
          <w:lang w:val="en-US"/>
        </w:rPr>
        <w:t>ddress</w:t>
      </w:r>
      <w:r w:rsidR="00D853AE">
        <w:rPr>
          <w:lang w:val="en-US"/>
        </w:rPr>
        <w:tab/>
      </w:r>
    </w:p>
    <w:p w14:paraId="715D6E98" w14:textId="5E24F5B6" w:rsidR="005F249C" w:rsidRDefault="00A2224A" w:rsidP="004923AD">
      <w:pPr>
        <w:pBdr>
          <w:between w:val="single" w:sz="4" w:space="1" w:color="auto"/>
        </w:pBdr>
        <w:rPr>
          <w:lang w:val="en-US"/>
        </w:rPr>
      </w:pPr>
      <w:r>
        <w:rPr>
          <w:lang w:val="en-US"/>
        </w:rPr>
        <w:t xml:space="preserve">Presentation type preferred:  </w:t>
      </w:r>
      <w:r>
        <w:rPr>
          <w:lang w:val="en-US"/>
        </w:rPr>
        <w:fldChar w:fldCharType="begin">
          <w:ffData>
            <w:name w:val="Check3"/>
            <w:enabled/>
            <w:calcOnExit w:val="0"/>
            <w:checkBox>
              <w:sizeAuto/>
              <w:default w:val="0"/>
            </w:checkBox>
          </w:ffData>
        </w:fldChar>
      </w:r>
      <w:bookmarkStart w:id="0" w:name="Check3"/>
      <w:r>
        <w:rPr>
          <w:lang w:val="en-US"/>
        </w:rPr>
        <w:instrText xml:space="preserve"> FORMCHECKBOX </w:instrText>
      </w:r>
      <w:r w:rsidR="00F26803">
        <w:rPr>
          <w:lang w:val="en-US"/>
        </w:rPr>
      </w:r>
      <w:r w:rsidR="00F26803">
        <w:rPr>
          <w:lang w:val="en-US"/>
        </w:rPr>
        <w:fldChar w:fldCharType="separate"/>
      </w:r>
      <w:r>
        <w:rPr>
          <w:lang w:val="en-US"/>
        </w:rPr>
        <w:fldChar w:fldCharType="end"/>
      </w:r>
      <w:bookmarkEnd w:id="0"/>
      <w:r>
        <w:rPr>
          <w:lang w:val="en-US"/>
        </w:rPr>
        <w:t xml:space="preserve"> </w:t>
      </w:r>
      <w:r w:rsidR="000859DC">
        <w:rPr>
          <w:lang w:val="en-US"/>
        </w:rPr>
        <w:t>oral</w:t>
      </w:r>
      <w:r w:rsidR="005F249C">
        <w:rPr>
          <w:lang w:val="en-US"/>
        </w:rPr>
        <w:t xml:space="preserve"> </w:t>
      </w:r>
      <w:r w:rsidR="005F249C" w:rsidRPr="000859DC">
        <w:rPr>
          <w:b/>
          <w:bCs/>
          <w:i/>
          <w:iCs/>
          <w:u w:val="single"/>
          <w:lang w:val="en-US"/>
        </w:rPr>
        <w:t>or</w:t>
      </w:r>
      <w:r w:rsidR="005F249C">
        <w:rPr>
          <w:lang w:val="en-US"/>
        </w:rPr>
        <w:t xml:space="preserve"> </w:t>
      </w:r>
      <w:r w:rsidR="000859DC">
        <w:rPr>
          <w:lang w:val="en-US"/>
        </w:rPr>
        <w:t>poster</w:t>
      </w:r>
      <w:r>
        <w:rPr>
          <w:lang w:val="en-US"/>
        </w:rPr>
        <w:t xml:space="preserve">    </w:t>
      </w:r>
      <w:r w:rsidR="005F249C">
        <w:rPr>
          <w:lang w:val="en-US"/>
        </w:rPr>
        <w:t xml:space="preserve"> </w:t>
      </w:r>
      <w:r>
        <w:rPr>
          <w:lang w:val="en-US"/>
        </w:rPr>
        <w:fldChar w:fldCharType="begin">
          <w:ffData>
            <w:name w:val="Check4"/>
            <w:enabled/>
            <w:calcOnExit w:val="0"/>
            <w:checkBox>
              <w:sizeAuto/>
              <w:default w:val="0"/>
            </w:checkBox>
          </w:ffData>
        </w:fldChar>
      </w:r>
      <w:bookmarkStart w:id="1" w:name="Check4"/>
      <w:r>
        <w:rPr>
          <w:lang w:val="en-US"/>
        </w:rPr>
        <w:instrText xml:space="preserve"> FORMCHECKBOX </w:instrText>
      </w:r>
      <w:r w:rsidR="00F26803">
        <w:rPr>
          <w:lang w:val="en-US"/>
        </w:rPr>
      </w:r>
      <w:r w:rsidR="00F26803">
        <w:rPr>
          <w:lang w:val="en-US"/>
        </w:rPr>
        <w:fldChar w:fldCharType="separate"/>
      </w:r>
      <w:r>
        <w:rPr>
          <w:lang w:val="en-US"/>
        </w:rPr>
        <w:fldChar w:fldCharType="end"/>
      </w:r>
      <w:bookmarkEnd w:id="1"/>
      <w:r>
        <w:rPr>
          <w:lang w:val="en-US"/>
        </w:rPr>
        <w:t xml:space="preserve"> </w:t>
      </w:r>
      <w:r w:rsidR="00DC6097">
        <w:rPr>
          <w:lang w:val="en-US"/>
        </w:rPr>
        <w:t>oral</w:t>
      </w:r>
      <w:r w:rsidR="005F249C">
        <w:rPr>
          <w:lang w:val="en-US"/>
        </w:rPr>
        <w:t xml:space="preserve"> </w:t>
      </w:r>
      <w:r w:rsidR="005F249C" w:rsidRPr="000859DC">
        <w:rPr>
          <w:b/>
          <w:bCs/>
          <w:i/>
          <w:iCs/>
          <w:u w:val="single"/>
          <w:lang w:val="en-US"/>
        </w:rPr>
        <w:t>and</w:t>
      </w:r>
      <w:r w:rsidR="005F249C">
        <w:rPr>
          <w:lang w:val="en-US"/>
        </w:rPr>
        <w:t xml:space="preserve"> </w:t>
      </w:r>
      <w:r w:rsidR="00DC6097">
        <w:rPr>
          <w:lang w:val="en-US"/>
        </w:rPr>
        <w:t>poster</w:t>
      </w:r>
      <w:r w:rsidR="000859DC">
        <w:rPr>
          <w:lang w:val="en-US"/>
        </w:rPr>
        <w:t xml:space="preserve">  </w:t>
      </w:r>
      <w:r w:rsidR="005F249C">
        <w:rPr>
          <w:lang w:val="en-US"/>
        </w:rPr>
        <w:t xml:space="preserve"> </w:t>
      </w:r>
      <w:r w:rsidR="000859DC">
        <w:rPr>
          <w:lang w:val="en-US"/>
        </w:rPr>
        <w:t xml:space="preserve">  </w:t>
      </w:r>
      <w:r w:rsidR="000859DC">
        <w:rPr>
          <w:lang w:val="en-US"/>
        </w:rPr>
        <w:fldChar w:fldCharType="begin">
          <w:ffData>
            <w:name w:val="Check4"/>
            <w:enabled/>
            <w:calcOnExit w:val="0"/>
            <w:checkBox>
              <w:sizeAuto/>
              <w:default w:val="0"/>
            </w:checkBox>
          </w:ffData>
        </w:fldChar>
      </w:r>
      <w:r w:rsidR="000859DC">
        <w:rPr>
          <w:lang w:val="en-US"/>
        </w:rPr>
        <w:instrText xml:space="preserve"> FORMCHECKBOX </w:instrText>
      </w:r>
      <w:r w:rsidR="00F26803">
        <w:rPr>
          <w:lang w:val="en-US"/>
        </w:rPr>
      </w:r>
      <w:r w:rsidR="00F26803">
        <w:rPr>
          <w:lang w:val="en-US"/>
        </w:rPr>
        <w:fldChar w:fldCharType="separate"/>
      </w:r>
      <w:r w:rsidR="000859DC">
        <w:rPr>
          <w:lang w:val="en-US"/>
        </w:rPr>
        <w:fldChar w:fldCharType="end"/>
      </w:r>
      <w:r w:rsidR="000859DC">
        <w:rPr>
          <w:lang w:val="en-US"/>
        </w:rPr>
        <w:t xml:space="preserve"> poster only   </w:t>
      </w:r>
    </w:p>
    <w:p w14:paraId="1F94F31C" w14:textId="253DD2BA" w:rsidR="00A2224A" w:rsidRDefault="00A2224A">
      <w:pPr>
        <w:rPr>
          <w:lang w:val="en-US"/>
        </w:rPr>
      </w:pPr>
    </w:p>
    <w:p w14:paraId="2554CF36" w14:textId="3D088D64" w:rsidR="00E86762" w:rsidRDefault="00AC08FB">
      <w:pPr>
        <w:rPr>
          <w:lang w:val="en-US"/>
        </w:rPr>
      </w:pPr>
      <w:r>
        <w:rPr>
          <w:lang w:val="en-US"/>
        </w:rPr>
        <w:t>P</w:t>
      </w:r>
      <w:r w:rsidR="00DC6097">
        <w:rPr>
          <w:lang w:val="en-US"/>
        </w:rPr>
        <w:t xml:space="preserve">resentation </w:t>
      </w:r>
      <w:r w:rsidR="000859DC">
        <w:rPr>
          <w:lang w:val="en-US"/>
        </w:rPr>
        <w:t>type</w:t>
      </w:r>
      <w:r>
        <w:rPr>
          <w:lang w:val="en-US"/>
        </w:rPr>
        <w:t>:</w:t>
      </w:r>
      <w:r w:rsidR="00DC6097">
        <w:rPr>
          <w:lang w:val="en-US"/>
        </w:rPr>
        <w:t xml:space="preserve"> </w:t>
      </w:r>
      <w:r>
        <w:rPr>
          <w:lang w:val="en-US"/>
        </w:rPr>
        <w:t>t</w:t>
      </w:r>
      <w:r w:rsidR="000859DC">
        <w:rPr>
          <w:lang w:val="en-US"/>
        </w:rPr>
        <w:t>icking</w:t>
      </w:r>
      <w:r w:rsidR="008F3FA8">
        <w:rPr>
          <w:lang w:val="en-US"/>
        </w:rPr>
        <w:t xml:space="preserve"> </w:t>
      </w:r>
      <w:r w:rsidR="00A869AC">
        <w:rPr>
          <w:lang w:val="en-US"/>
        </w:rPr>
        <w:t>an</w:t>
      </w:r>
      <w:r>
        <w:rPr>
          <w:lang w:val="en-US"/>
        </w:rPr>
        <w:t>y</w:t>
      </w:r>
      <w:r w:rsidR="008F3FA8">
        <w:rPr>
          <w:lang w:val="en-US"/>
        </w:rPr>
        <w:t xml:space="preserve"> option </w:t>
      </w:r>
      <w:r>
        <w:rPr>
          <w:lang w:val="en-US"/>
        </w:rPr>
        <w:t>containing</w:t>
      </w:r>
      <w:r w:rsidR="000859DC">
        <w:rPr>
          <w:lang w:val="en-US"/>
        </w:rPr>
        <w:t xml:space="preserve"> </w:t>
      </w:r>
      <w:r w:rsidR="008D716F">
        <w:rPr>
          <w:lang w:val="en-US"/>
        </w:rPr>
        <w:t>“</w:t>
      </w:r>
      <w:r w:rsidR="000859DC" w:rsidRPr="008D716F">
        <w:rPr>
          <w:lang w:val="en-US"/>
        </w:rPr>
        <w:t>oral</w:t>
      </w:r>
      <w:r w:rsidR="008D716F">
        <w:rPr>
          <w:lang w:val="en-US"/>
        </w:rPr>
        <w:t>”</w:t>
      </w:r>
      <w:r w:rsidR="000859DC">
        <w:rPr>
          <w:lang w:val="en-US"/>
        </w:rPr>
        <w:t xml:space="preserve"> </w:t>
      </w:r>
      <w:r>
        <w:rPr>
          <w:lang w:val="en-US"/>
        </w:rPr>
        <w:t xml:space="preserve">as </w:t>
      </w:r>
      <w:r w:rsidR="008F3FA8">
        <w:rPr>
          <w:lang w:val="en-US"/>
        </w:rPr>
        <w:t xml:space="preserve">presentation type </w:t>
      </w:r>
      <w:r w:rsidR="000859DC">
        <w:rPr>
          <w:lang w:val="en-US"/>
        </w:rPr>
        <w:t xml:space="preserve">means your </w:t>
      </w:r>
      <w:r w:rsidR="008F3FA8">
        <w:rPr>
          <w:lang w:val="en-US"/>
        </w:rPr>
        <w:t>abstract</w:t>
      </w:r>
      <w:r w:rsidR="000859DC">
        <w:rPr>
          <w:lang w:val="en-US"/>
        </w:rPr>
        <w:t xml:space="preserve"> will be forwarded to the program committee for selection. </w:t>
      </w:r>
      <w:r w:rsidR="00DC6097" w:rsidRPr="000859DC">
        <w:rPr>
          <w:lang w:val="en-US"/>
        </w:rPr>
        <w:t>If</w:t>
      </w:r>
      <w:r w:rsidR="00DC6097">
        <w:rPr>
          <w:lang w:val="en-US"/>
        </w:rPr>
        <w:t xml:space="preserve"> you </w:t>
      </w:r>
      <w:r w:rsidR="000859DC">
        <w:rPr>
          <w:lang w:val="en-US"/>
        </w:rPr>
        <w:t>tick</w:t>
      </w:r>
      <w:r w:rsidR="00DC6097">
        <w:rPr>
          <w:lang w:val="en-US"/>
        </w:rPr>
        <w:t xml:space="preserve"> </w:t>
      </w:r>
      <w:r w:rsidR="000859DC">
        <w:rPr>
          <w:lang w:val="en-US"/>
        </w:rPr>
        <w:t>“</w:t>
      </w:r>
      <w:r w:rsidR="00DC6097">
        <w:rPr>
          <w:lang w:val="en-US"/>
        </w:rPr>
        <w:t xml:space="preserve">oral </w:t>
      </w:r>
      <w:r w:rsidR="00DC6097" w:rsidRPr="000859DC">
        <w:rPr>
          <w:u w:val="single"/>
          <w:lang w:val="en-US"/>
        </w:rPr>
        <w:t>and</w:t>
      </w:r>
      <w:r w:rsidR="00DC6097">
        <w:rPr>
          <w:lang w:val="en-US"/>
        </w:rPr>
        <w:t xml:space="preserve"> poster</w:t>
      </w:r>
      <w:r w:rsidR="000859DC">
        <w:rPr>
          <w:lang w:val="en-US"/>
        </w:rPr>
        <w:t>”</w:t>
      </w:r>
      <w:r w:rsidR="00DC6097">
        <w:rPr>
          <w:lang w:val="en-US"/>
        </w:rPr>
        <w:t xml:space="preserve"> you must p</w:t>
      </w:r>
      <w:r w:rsidR="00E86762">
        <w:rPr>
          <w:lang w:val="en-US"/>
        </w:rPr>
        <w:t xml:space="preserve">repare a </w:t>
      </w:r>
      <w:r w:rsidR="000859DC">
        <w:rPr>
          <w:lang w:val="en-US"/>
        </w:rPr>
        <w:t xml:space="preserve">talk and a </w:t>
      </w:r>
      <w:r w:rsidR="00E86762">
        <w:rPr>
          <w:lang w:val="en-US"/>
        </w:rPr>
        <w:t>poster, and this option gives you additional time to discuss your results</w:t>
      </w:r>
      <w:r w:rsidR="000859DC">
        <w:rPr>
          <w:lang w:val="en-US"/>
        </w:rPr>
        <w:t xml:space="preserve"> in the poster session</w:t>
      </w:r>
      <w:r w:rsidR="00E86762">
        <w:rPr>
          <w:lang w:val="en-US"/>
        </w:rPr>
        <w:t xml:space="preserve"> (recommended).</w:t>
      </w:r>
    </w:p>
    <w:p w14:paraId="2FD241E2" w14:textId="19D54215" w:rsidR="00DC6097" w:rsidRPr="00B6472B" w:rsidRDefault="00DC6097" w:rsidP="00B6472B">
      <w:pPr>
        <w:pStyle w:val="ListParagraph"/>
        <w:numPr>
          <w:ilvl w:val="0"/>
          <w:numId w:val="2"/>
        </w:numPr>
        <w:rPr>
          <w:lang w:val="en-US"/>
        </w:rPr>
      </w:pPr>
      <w:r w:rsidRPr="00B6472B">
        <w:rPr>
          <w:lang w:val="en-US"/>
        </w:rPr>
        <w:t>Talks are 10 Minutes plus 5 minutes discussion.</w:t>
      </w:r>
    </w:p>
    <w:p w14:paraId="18CEAE94" w14:textId="15EE88DD" w:rsidR="00B6472B" w:rsidRDefault="00DC6097" w:rsidP="00B6472B">
      <w:pPr>
        <w:pStyle w:val="ListParagraph"/>
        <w:numPr>
          <w:ilvl w:val="0"/>
          <w:numId w:val="2"/>
        </w:numPr>
        <w:rPr>
          <w:lang w:val="en-US"/>
        </w:rPr>
      </w:pPr>
      <w:r w:rsidRPr="00B6472B">
        <w:rPr>
          <w:lang w:val="en-US"/>
        </w:rPr>
        <w:t xml:space="preserve">Posters </w:t>
      </w:r>
      <w:r w:rsidR="009A5CDA">
        <w:rPr>
          <w:lang w:val="en-US"/>
        </w:rPr>
        <w:t>are in</w:t>
      </w:r>
      <w:r w:rsidR="000859DC" w:rsidRPr="00B6472B">
        <w:rPr>
          <w:lang w:val="en-US"/>
        </w:rPr>
        <w:t xml:space="preserve"> </w:t>
      </w:r>
      <w:r w:rsidR="008F3FA8">
        <w:rPr>
          <w:lang w:val="en-US"/>
        </w:rPr>
        <w:t>16:10 widescreen</w:t>
      </w:r>
      <w:r w:rsidR="00E86762" w:rsidRPr="00B6472B">
        <w:rPr>
          <w:lang w:val="en-US"/>
        </w:rPr>
        <w:t xml:space="preserve"> format</w:t>
      </w:r>
      <w:r w:rsidR="000859DC" w:rsidRPr="00B6472B">
        <w:rPr>
          <w:lang w:val="en-US"/>
        </w:rPr>
        <w:t>.</w:t>
      </w:r>
      <w:r w:rsidR="00E86762" w:rsidRPr="00B6472B">
        <w:rPr>
          <w:lang w:val="en-US"/>
        </w:rPr>
        <w:t xml:space="preserve"> </w:t>
      </w:r>
      <w:r w:rsidR="008F3FA8">
        <w:rPr>
          <w:lang w:val="en-US"/>
        </w:rPr>
        <w:t>You need to</w:t>
      </w:r>
    </w:p>
    <w:p w14:paraId="721D1861" w14:textId="20AF170D" w:rsidR="00B6472B" w:rsidRDefault="00E86762" w:rsidP="00B6472B">
      <w:pPr>
        <w:pStyle w:val="ListParagraph"/>
        <w:numPr>
          <w:ilvl w:val="1"/>
          <w:numId w:val="2"/>
        </w:numPr>
        <w:rPr>
          <w:lang w:val="en-US"/>
        </w:rPr>
      </w:pPr>
      <w:r w:rsidRPr="00B6472B">
        <w:rPr>
          <w:lang w:val="en-US"/>
        </w:rPr>
        <w:t xml:space="preserve">submit </w:t>
      </w:r>
      <w:r w:rsidR="000859DC" w:rsidRPr="00B6472B">
        <w:rPr>
          <w:lang w:val="en-US"/>
        </w:rPr>
        <w:t>your</w:t>
      </w:r>
      <w:r w:rsidRPr="00B6472B">
        <w:rPr>
          <w:lang w:val="en-US"/>
        </w:rPr>
        <w:t xml:space="preserve"> poster as pdf</w:t>
      </w:r>
    </w:p>
    <w:p w14:paraId="1EF99EA5" w14:textId="7814004C" w:rsidR="00B6472B" w:rsidRDefault="00B6472B" w:rsidP="00B6472B">
      <w:pPr>
        <w:pStyle w:val="ListParagraph"/>
        <w:numPr>
          <w:ilvl w:val="1"/>
          <w:numId w:val="2"/>
        </w:numPr>
        <w:rPr>
          <w:lang w:val="en-US"/>
        </w:rPr>
      </w:pPr>
      <w:r>
        <w:rPr>
          <w:lang w:val="en-US"/>
        </w:rPr>
        <w:t xml:space="preserve">submit </w:t>
      </w:r>
      <w:r w:rsidR="00E86762" w:rsidRPr="00B6472B">
        <w:rPr>
          <w:lang w:val="en-US"/>
        </w:rPr>
        <w:t xml:space="preserve">a narrated </w:t>
      </w:r>
      <w:r w:rsidR="000859DC" w:rsidRPr="00B6472B">
        <w:rPr>
          <w:lang w:val="en-US"/>
        </w:rPr>
        <w:t>PowerPoint</w:t>
      </w:r>
      <w:r>
        <w:rPr>
          <w:lang w:val="en-US"/>
        </w:rPr>
        <w:t xml:space="preserve"> of your poster</w:t>
      </w:r>
    </w:p>
    <w:p w14:paraId="12A0C1F2" w14:textId="1D9E49FF" w:rsidR="00B6472B" w:rsidRDefault="008F3FA8" w:rsidP="00B6472B">
      <w:pPr>
        <w:pStyle w:val="ListParagraph"/>
        <w:numPr>
          <w:ilvl w:val="1"/>
          <w:numId w:val="2"/>
        </w:numPr>
        <w:rPr>
          <w:lang w:val="en-US"/>
        </w:rPr>
      </w:pPr>
      <w:r>
        <w:rPr>
          <w:lang w:val="en-US"/>
        </w:rPr>
        <w:t>prepare a</w:t>
      </w:r>
      <w:r w:rsidR="00B6472B">
        <w:rPr>
          <w:lang w:val="en-US"/>
        </w:rPr>
        <w:t xml:space="preserve"> </w:t>
      </w:r>
      <w:r w:rsidR="000859DC" w:rsidRPr="00B6472B">
        <w:rPr>
          <w:lang w:val="en-US"/>
        </w:rPr>
        <w:t>3</w:t>
      </w:r>
      <w:r w:rsidR="00B6472B">
        <w:rPr>
          <w:lang w:val="en-US"/>
        </w:rPr>
        <w:t>-</w:t>
      </w:r>
      <w:r w:rsidR="000859DC" w:rsidRPr="00B6472B">
        <w:rPr>
          <w:lang w:val="en-US"/>
        </w:rPr>
        <w:t>minute poster pitch</w:t>
      </w:r>
      <w:r w:rsidR="009A5CDA">
        <w:rPr>
          <w:lang w:val="en-US"/>
        </w:rPr>
        <w:t>, to</w:t>
      </w:r>
      <w:r>
        <w:rPr>
          <w:lang w:val="en-US"/>
        </w:rPr>
        <w:t xml:space="preserve"> be scheduled </w:t>
      </w:r>
      <w:r w:rsidR="009A5CDA">
        <w:rPr>
          <w:lang w:val="en-US"/>
        </w:rPr>
        <w:t>for</w:t>
      </w:r>
      <w:r>
        <w:rPr>
          <w:lang w:val="en-US"/>
        </w:rPr>
        <w:t xml:space="preserve"> the poster </w:t>
      </w:r>
      <w:r w:rsidR="009A5CDA">
        <w:rPr>
          <w:lang w:val="en-US"/>
        </w:rPr>
        <w:t xml:space="preserve">pitch </w:t>
      </w:r>
      <w:r>
        <w:rPr>
          <w:lang w:val="en-US"/>
        </w:rPr>
        <w:t>session</w:t>
      </w:r>
    </w:p>
    <w:p w14:paraId="0A71DB14" w14:textId="0C38114B" w:rsidR="00DC6097" w:rsidRPr="00B6472B" w:rsidRDefault="00B6472B" w:rsidP="00B6472B">
      <w:pPr>
        <w:pStyle w:val="ListParagraph"/>
        <w:numPr>
          <w:ilvl w:val="1"/>
          <w:numId w:val="2"/>
        </w:numPr>
        <w:rPr>
          <w:lang w:val="en-US"/>
        </w:rPr>
      </w:pPr>
      <w:r w:rsidRPr="00B6472B">
        <w:rPr>
          <w:lang w:val="en-US"/>
        </w:rPr>
        <w:t xml:space="preserve">explain </w:t>
      </w:r>
      <w:r>
        <w:rPr>
          <w:lang w:val="en-US"/>
        </w:rPr>
        <w:t>your</w:t>
      </w:r>
      <w:r w:rsidRPr="00B6472B">
        <w:rPr>
          <w:lang w:val="en-US"/>
        </w:rPr>
        <w:t xml:space="preserve"> poster to visitors </w:t>
      </w:r>
      <w:r>
        <w:rPr>
          <w:lang w:val="en-US"/>
        </w:rPr>
        <w:t>and</w:t>
      </w:r>
      <w:r w:rsidRPr="00B6472B">
        <w:rPr>
          <w:lang w:val="en-US"/>
        </w:rPr>
        <w:t xml:space="preserve"> answer </w:t>
      </w:r>
      <w:r>
        <w:rPr>
          <w:lang w:val="en-US"/>
        </w:rPr>
        <w:t xml:space="preserve">their </w:t>
      </w:r>
      <w:r w:rsidRPr="00B6472B">
        <w:rPr>
          <w:lang w:val="en-US"/>
        </w:rPr>
        <w:t>questions</w:t>
      </w:r>
      <w:r w:rsidR="009A5CDA">
        <w:rPr>
          <w:lang w:val="en-US"/>
        </w:rPr>
        <w:t xml:space="preserve"> in </w:t>
      </w:r>
      <w:r w:rsidR="00AC08FB">
        <w:rPr>
          <w:lang w:val="en-US"/>
        </w:rPr>
        <w:t>your own scheduled</w:t>
      </w:r>
      <w:r w:rsidR="009A5CDA">
        <w:rPr>
          <w:lang w:val="en-US"/>
        </w:rPr>
        <w:t xml:space="preserve"> online channel during the poster session</w:t>
      </w:r>
    </w:p>
    <w:p w14:paraId="2ECA7453" w14:textId="77777777" w:rsidR="00AC08FB" w:rsidRDefault="00AC08FB">
      <w:pPr>
        <w:rPr>
          <w:lang w:val="en-US"/>
        </w:rPr>
      </w:pPr>
    </w:p>
    <w:p w14:paraId="166B49A4" w14:textId="5DFC3001" w:rsidR="009A5CDA" w:rsidRDefault="00B6472B">
      <w:pPr>
        <w:rPr>
          <w:lang w:val="en-US"/>
        </w:rPr>
      </w:pPr>
      <w:r>
        <w:rPr>
          <w:lang w:val="en-US"/>
        </w:rPr>
        <w:t xml:space="preserve">Please find the abstract template for oral </w:t>
      </w:r>
      <w:r w:rsidR="008F3FA8">
        <w:rPr>
          <w:lang w:val="en-US"/>
        </w:rPr>
        <w:t>/</w:t>
      </w:r>
      <w:r>
        <w:rPr>
          <w:lang w:val="en-US"/>
        </w:rPr>
        <w:t xml:space="preserve"> poster presentations attached. </w:t>
      </w:r>
    </w:p>
    <w:p w14:paraId="49026734" w14:textId="77777777" w:rsidR="009A5CDA" w:rsidRDefault="009A5CDA">
      <w:pPr>
        <w:rPr>
          <w:lang w:val="en-US"/>
        </w:rPr>
      </w:pPr>
    </w:p>
    <w:p w14:paraId="72A69959" w14:textId="77777777" w:rsidR="009A5CDA" w:rsidRDefault="00B6472B">
      <w:pPr>
        <w:rPr>
          <w:lang w:val="en-US"/>
        </w:rPr>
      </w:pPr>
      <w:r>
        <w:rPr>
          <w:lang w:val="en-US"/>
        </w:rPr>
        <w:t xml:space="preserve">All abstracts will be published on the meeting website. </w:t>
      </w:r>
    </w:p>
    <w:p w14:paraId="02D2EB37" w14:textId="77777777" w:rsidR="009A5CDA" w:rsidRDefault="009A5CDA">
      <w:pPr>
        <w:rPr>
          <w:lang w:val="en-US"/>
        </w:rPr>
      </w:pPr>
    </w:p>
    <w:p w14:paraId="7AE43422" w14:textId="7C55CE29" w:rsidR="00B6472B" w:rsidRDefault="00B6472B">
      <w:pPr>
        <w:rPr>
          <w:lang w:val="en-US"/>
        </w:rPr>
      </w:pPr>
      <w:r>
        <w:rPr>
          <w:lang w:val="en-US"/>
        </w:rPr>
        <w:t>Thank you for submitting your work!</w:t>
      </w:r>
    </w:p>
    <w:p w14:paraId="166E78D4" w14:textId="77777777" w:rsidR="00E86762" w:rsidRDefault="00E86762">
      <w:pPr>
        <w:rPr>
          <w:lang w:val="en-US"/>
        </w:rPr>
      </w:pPr>
    </w:p>
    <w:p w14:paraId="79D21141" w14:textId="77777777" w:rsidR="00E72F59" w:rsidRDefault="00E72F59">
      <w:pPr>
        <w:rPr>
          <w:u w:val="single"/>
          <w:lang w:val="en-US"/>
        </w:rPr>
      </w:pPr>
      <w:r>
        <w:rPr>
          <w:u w:val="single"/>
          <w:lang w:val="en-US"/>
        </w:rPr>
        <w:br w:type="page"/>
      </w:r>
    </w:p>
    <w:p w14:paraId="1D8D2951" w14:textId="4DC4B366" w:rsidR="00DC6097" w:rsidRPr="00B6472B" w:rsidRDefault="00B6472B">
      <w:pPr>
        <w:rPr>
          <w:u w:val="single"/>
          <w:lang w:val="en-US"/>
        </w:rPr>
      </w:pPr>
      <w:r w:rsidRPr="00B6472B">
        <w:rPr>
          <w:u w:val="single"/>
          <w:lang w:val="en-US"/>
        </w:rPr>
        <w:lastRenderedPageBreak/>
        <w:t xml:space="preserve">Oral and poster </w:t>
      </w:r>
      <w:r w:rsidR="009A5CDA">
        <w:rPr>
          <w:u w:val="single"/>
          <w:lang w:val="en-US"/>
        </w:rPr>
        <w:t>abstract</w:t>
      </w:r>
      <w:r w:rsidRPr="00B6472B">
        <w:rPr>
          <w:u w:val="single"/>
          <w:lang w:val="en-US"/>
        </w:rPr>
        <w:t xml:space="preserve"> template. Please replace the text</w:t>
      </w:r>
      <w:r w:rsidR="004545C3">
        <w:rPr>
          <w:u w:val="single"/>
          <w:lang w:val="en-US"/>
        </w:rPr>
        <w:t xml:space="preserve"> and return by 30.6.202</w:t>
      </w:r>
      <w:r w:rsidR="00D853AE">
        <w:rPr>
          <w:u w:val="single"/>
          <w:lang w:val="en-US"/>
        </w:rPr>
        <w:t>1</w:t>
      </w:r>
      <w:r w:rsidRPr="00B6472B">
        <w:rPr>
          <w:u w:val="single"/>
          <w:lang w:val="en-US"/>
        </w:rPr>
        <w:t>.</w:t>
      </w:r>
    </w:p>
    <w:p w14:paraId="3CA91F90" w14:textId="77777777" w:rsidR="00B6472B" w:rsidRDefault="00B6472B">
      <w:pPr>
        <w:rPr>
          <w:lang w:val="en-US"/>
        </w:rPr>
      </w:pPr>
    </w:p>
    <w:p w14:paraId="017F1CE5" w14:textId="5B664329" w:rsidR="00187B50" w:rsidRPr="00187B50" w:rsidRDefault="00187B50" w:rsidP="004923AD">
      <w:pPr>
        <w:rPr>
          <w:i/>
          <w:iCs/>
          <w:sz w:val="20"/>
          <w:szCs w:val="20"/>
        </w:rPr>
      </w:pPr>
      <w:r w:rsidRPr="00187B50">
        <w:rPr>
          <w:i/>
          <w:iCs/>
          <w:sz w:val="20"/>
          <w:szCs w:val="20"/>
        </w:rPr>
        <w:t>Title</w:t>
      </w:r>
    </w:p>
    <w:p w14:paraId="5FE0D0F1" w14:textId="5D402959" w:rsidR="004923AD" w:rsidRPr="00187B50" w:rsidRDefault="004923AD" w:rsidP="004923AD">
      <w:pPr>
        <w:rPr>
          <w:b/>
          <w:bCs/>
          <w:sz w:val="28"/>
          <w:szCs w:val="28"/>
        </w:rPr>
      </w:pPr>
      <w:r w:rsidRPr="00187B50">
        <w:rPr>
          <w:b/>
          <w:bCs/>
          <w:sz w:val="28"/>
          <w:szCs w:val="28"/>
        </w:rPr>
        <w:t>Study of Immune Receptors by Combination of Crystallography, SAXS and Computational Chemistry</w:t>
      </w:r>
    </w:p>
    <w:p w14:paraId="4EBCA835" w14:textId="77777777" w:rsidR="004923AD" w:rsidRDefault="004923AD" w:rsidP="004923AD"/>
    <w:p w14:paraId="584316D7" w14:textId="39C976CF" w:rsidR="00187B50" w:rsidRPr="00187B50" w:rsidRDefault="00187B50" w:rsidP="00187B50">
      <w:pPr>
        <w:rPr>
          <w:i/>
          <w:iCs/>
          <w:sz w:val="20"/>
          <w:szCs w:val="20"/>
        </w:rPr>
      </w:pPr>
      <w:r>
        <w:rPr>
          <w:i/>
          <w:iCs/>
          <w:sz w:val="20"/>
          <w:szCs w:val="20"/>
        </w:rPr>
        <w:t>Authors; underline presenting author</w:t>
      </w:r>
    </w:p>
    <w:p w14:paraId="368DE05B" w14:textId="1CC5BD62" w:rsidR="004923AD" w:rsidRPr="00187B50" w:rsidRDefault="004923AD" w:rsidP="004923AD">
      <w:pPr>
        <w:rPr>
          <w:sz w:val="22"/>
          <w:szCs w:val="22"/>
        </w:rPr>
      </w:pPr>
      <w:r w:rsidRPr="00187B50">
        <w:rPr>
          <w:sz w:val="22"/>
          <w:szCs w:val="22"/>
        </w:rPr>
        <w:t xml:space="preserve">Emma Sutton, Hayden Fisher, Chris Orr, Richard Bradshaw, Mark Cragg, John Essex &amp; </w:t>
      </w:r>
      <w:r w:rsidRPr="00187B50">
        <w:rPr>
          <w:sz w:val="22"/>
          <w:szCs w:val="22"/>
          <w:u w:val="single"/>
        </w:rPr>
        <w:t>Ivo Tews</w:t>
      </w:r>
    </w:p>
    <w:p w14:paraId="7BE4DA7F" w14:textId="77777777" w:rsidR="004923AD" w:rsidRDefault="004923AD" w:rsidP="004923AD"/>
    <w:p w14:paraId="09E82A4F" w14:textId="21342E28" w:rsidR="00187B50" w:rsidRPr="00187B50" w:rsidRDefault="00187B50" w:rsidP="00187B50">
      <w:pPr>
        <w:rPr>
          <w:i/>
          <w:iCs/>
          <w:sz w:val="20"/>
          <w:szCs w:val="20"/>
        </w:rPr>
      </w:pPr>
      <w:r>
        <w:rPr>
          <w:i/>
          <w:iCs/>
          <w:sz w:val="20"/>
          <w:szCs w:val="20"/>
        </w:rPr>
        <w:t>Affiliation/s</w:t>
      </w:r>
    </w:p>
    <w:p w14:paraId="159F395E" w14:textId="77777777" w:rsidR="004923AD" w:rsidRPr="00187B50" w:rsidRDefault="004923AD" w:rsidP="004923AD">
      <w:pPr>
        <w:rPr>
          <w:sz w:val="20"/>
          <w:szCs w:val="20"/>
        </w:rPr>
      </w:pPr>
      <w:r w:rsidRPr="00187B50">
        <w:rPr>
          <w:sz w:val="20"/>
          <w:szCs w:val="20"/>
        </w:rPr>
        <w:t>Biological Sciences, Institute for Life Sciences B85, University of Southampton, Southampton, SO17 1BJ</w:t>
      </w:r>
    </w:p>
    <w:p w14:paraId="18688F1C" w14:textId="77777777" w:rsidR="004923AD" w:rsidRDefault="004923AD" w:rsidP="004923AD"/>
    <w:p w14:paraId="7BDF485B" w14:textId="0E89E3F7" w:rsidR="00187B50" w:rsidRPr="00187B50" w:rsidRDefault="00187B50" w:rsidP="00187B50">
      <w:pPr>
        <w:rPr>
          <w:i/>
          <w:iCs/>
          <w:sz w:val="20"/>
          <w:szCs w:val="20"/>
        </w:rPr>
      </w:pPr>
      <w:r>
        <w:rPr>
          <w:i/>
          <w:iCs/>
          <w:sz w:val="20"/>
          <w:szCs w:val="20"/>
        </w:rPr>
        <w:t>Abstract; 150w max</w:t>
      </w:r>
    </w:p>
    <w:p w14:paraId="693837A3" w14:textId="5AFB2776" w:rsidR="004923AD" w:rsidRPr="00187B50" w:rsidRDefault="004923AD" w:rsidP="004923AD">
      <w:pPr>
        <w:rPr>
          <w:sz w:val="20"/>
          <w:szCs w:val="20"/>
        </w:rPr>
      </w:pPr>
      <w:r w:rsidRPr="00187B50">
        <w:rPr>
          <w:rStyle w:val="None"/>
          <w:sz w:val="20"/>
          <w:szCs w:val="20"/>
        </w:rPr>
        <w:t>Biologics are biomolecular drugs, comprising five of the top-ten blockbuster pharmaceuticals. Eighty percent of these Biologics are monoclonal antibodies</w:t>
      </w:r>
      <w:r w:rsidRPr="00187B50">
        <w:rPr>
          <w:sz w:val="20"/>
          <w:szCs w:val="20"/>
        </w:rPr>
        <w:t xml:space="preserve"> </w:t>
      </w:r>
      <w:r w:rsidRPr="00187B50">
        <w:rPr>
          <w:rStyle w:val="None"/>
          <w:sz w:val="20"/>
          <w:szCs w:val="20"/>
        </w:rPr>
        <w:t xml:space="preserve">now ubiquitous in the treatment of human disease ranging from cancer to autoimmune disorders. </w:t>
      </w:r>
      <w:r w:rsidRPr="00187B50">
        <w:rPr>
          <w:sz w:val="20"/>
          <w:szCs w:val="20"/>
        </w:rPr>
        <w:t>To understand the molecular mechanisms of immune regulation we study antibodies, antibody fragments, and immune receptor complexes combining crystallographic structure analysis with small angle X-ray scattering in-solution studies. We have predicted theoretical scattering profiles for atomistic structures extracted from molecular dynamics (MD) simulations; the motions observed during the MD trajectory were extracted through principal component analysis, followed by assessment of the agreement of structures with experimental SAXS data. The method does not only allow detection of global changes but is able to pinpoint local changes in specific loop regions of the antibody fragment. The methodology described is generally applicable to deconvolute global and local changes of macromolecular structures and well suited to other systems.</w:t>
      </w:r>
    </w:p>
    <w:p w14:paraId="182F9A80" w14:textId="7025C490" w:rsidR="004923AD" w:rsidRDefault="004923AD" w:rsidP="004923AD"/>
    <w:p w14:paraId="73F2BB53" w14:textId="0AF3772E" w:rsidR="00187B50" w:rsidRPr="00187B50" w:rsidRDefault="00187B50" w:rsidP="004923AD">
      <w:pPr>
        <w:rPr>
          <w:i/>
          <w:iCs/>
          <w:sz w:val="20"/>
          <w:szCs w:val="20"/>
        </w:rPr>
      </w:pPr>
      <w:r>
        <w:rPr>
          <w:i/>
          <w:iCs/>
          <w:sz w:val="20"/>
          <w:szCs w:val="20"/>
        </w:rPr>
        <w:t>Graphical Abstract</w:t>
      </w:r>
    </w:p>
    <w:p w14:paraId="3AD85F14" w14:textId="19C446FA" w:rsidR="004923AD" w:rsidRDefault="004923AD" w:rsidP="004923AD">
      <w:r>
        <w:rPr>
          <w:noProof/>
        </w:rPr>
        <w:drawing>
          <wp:inline distT="0" distB="0" distL="0" distR="0" wp14:anchorId="19E3ADF4" wp14:editId="3DBEC244">
            <wp:extent cx="3982732" cy="1623527"/>
            <wp:effectExtent l="0" t="0" r="5080" b="254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SBC-Tews_11-5-19.png"/>
                    <pic:cNvPicPr/>
                  </pic:nvPicPr>
                  <pic:blipFill rotWithShape="1">
                    <a:blip r:embed="rId6" cstate="print">
                      <a:extLst>
                        <a:ext uri="{28A0092B-C50C-407E-A947-70E740481C1C}">
                          <a14:useLocalDpi xmlns:a14="http://schemas.microsoft.com/office/drawing/2010/main" val="0"/>
                        </a:ext>
                      </a:extLst>
                    </a:blip>
                    <a:srcRect t="16153" b="11381"/>
                    <a:stretch/>
                  </pic:blipFill>
                  <pic:spPr bwMode="auto">
                    <a:xfrm>
                      <a:off x="0" y="0"/>
                      <a:ext cx="4094443" cy="1669065"/>
                    </a:xfrm>
                    <a:prstGeom prst="rect">
                      <a:avLst/>
                    </a:prstGeom>
                    <a:ln>
                      <a:noFill/>
                    </a:ln>
                    <a:extLst>
                      <a:ext uri="{53640926-AAD7-44D8-BBD7-CCE9431645EC}">
                        <a14:shadowObscured xmlns:a14="http://schemas.microsoft.com/office/drawing/2010/main"/>
                      </a:ext>
                    </a:extLst>
                  </pic:spPr>
                </pic:pic>
              </a:graphicData>
            </a:graphic>
          </wp:inline>
        </w:drawing>
      </w:r>
    </w:p>
    <w:p w14:paraId="69D1D320" w14:textId="77777777" w:rsidR="00187B50" w:rsidRDefault="00187B50">
      <w:pPr>
        <w:rPr>
          <w:lang w:val="en-US"/>
        </w:rPr>
      </w:pPr>
    </w:p>
    <w:p w14:paraId="03362741" w14:textId="0C3A7810" w:rsidR="00A2224A" w:rsidRPr="00187B50" w:rsidRDefault="004923AD">
      <w:pPr>
        <w:rPr>
          <w:i/>
          <w:iCs/>
          <w:sz w:val="20"/>
          <w:szCs w:val="20"/>
          <w:lang w:val="en-US"/>
        </w:rPr>
      </w:pPr>
      <w:r w:rsidRPr="00187B50">
        <w:rPr>
          <w:i/>
          <w:iCs/>
          <w:sz w:val="20"/>
          <w:szCs w:val="20"/>
          <w:lang w:val="en-US"/>
        </w:rPr>
        <w:t>Primary citation</w:t>
      </w:r>
      <w:r w:rsidR="00DC6097">
        <w:rPr>
          <w:i/>
          <w:iCs/>
          <w:sz w:val="20"/>
          <w:szCs w:val="20"/>
          <w:lang w:val="en-US"/>
        </w:rPr>
        <w:t xml:space="preserve"> (make sure to link to the online publication)</w:t>
      </w:r>
    </w:p>
    <w:p w14:paraId="3043D30A" w14:textId="1951621D" w:rsidR="00187B50" w:rsidRPr="009A5CDA" w:rsidRDefault="00187B50" w:rsidP="009A5CDA">
      <w:pPr>
        <w:pStyle w:val="ListParagraph"/>
        <w:numPr>
          <w:ilvl w:val="0"/>
          <w:numId w:val="4"/>
        </w:numPr>
        <w:ind w:left="426"/>
        <w:rPr>
          <w:sz w:val="21"/>
          <w:szCs w:val="21"/>
          <w:lang w:val="en-US"/>
        </w:rPr>
      </w:pPr>
      <w:r w:rsidRPr="009A5CDA">
        <w:rPr>
          <w:sz w:val="21"/>
          <w:szCs w:val="21"/>
          <w:lang w:val="en-US"/>
        </w:rPr>
        <w:t xml:space="preserve">Sutton EJ, Bradshaw RT, Orr CM, Frendéus B, Larsson G, Teige I, Cragg MS, Tews I, Essex JW. “Evaluating Anti-CD32b F(ab) Conformation Using Molecular Dynamics and Small-Angle X-Ray Scattering.” Biophys J. 2018 Jul 17;115(2):289-299. doi: </w:t>
      </w:r>
      <w:hyperlink r:id="rId7" w:history="1">
        <w:r w:rsidRPr="009A5CDA">
          <w:rPr>
            <w:rStyle w:val="Hyperlink"/>
            <w:sz w:val="21"/>
            <w:szCs w:val="21"/>
            <w:lang w:val="en-US"/>
          </w:rPr>
          <w:t>10.1016/j.bpj.2018.03.040</w:t>
        </w:r>
      </w:hyperlink>
      <w:r w:rsidRPr="009A5CDA">
        <w:rPr>
          <w:sz w:val="21"/>
          <w:szCs w:val="21"/>
          <w:lang w:val="en-US"/>
        </w:rPr>
        <w:t>.</w:t>
      </w:r>
    </w:p>
    <w:p w14:paraId="7E3DB709" w14:textId="206E240A" w:rsidR="00187B50" w:rsidRPr="00187B50" w:rsidRDefault="00187B50" w:rsidP="00187B50">
      <w:pPr>
        <w:rPr>
          <w:rFonts w:ascii="Helvetica Neue" w:eastAsia="Times New Roman" w:hAnsi="Helvetica Neue" w:cs="Times New Roman"/>
          <w:color w:val="000000" w:themeColor="text1"/>
          <w:sz w:val="21"/>
          <w:szCs w:val="21"/>
          <w:shd w:val="clear" w:color="auto" w:fill="FFFFFF"/>
          <w:lang w:eastAsia="en-GB"/>
        </w:rPr>
      </w:pPr>
    </w:p>
    <w:p w14:paraId="6C9FE51C" w14:textId="347EED6C" w:rsidR="004923AD" w:rsidRPr="00187B50" w:rsidRDefault="004923AD">
      <w:pPr>
        <w:rPr>
          <w:i/>
          <w:iCs/>
          <w:sz w:val="20"/>
          <w:szCs w:val="20"/>
          <w:lang w:val="en-US"/>
        </w:rPr>
      </w:pPr>
      <w:r w:rsidRPr="00187B50">
        <w:rPr>
          <w:i/>
          <w:iCs/>
          <w:sz w:val="20"/>
          <w:szCs w:val="20"/>
          <w:lang w:val="en-US"/>
        </w:rPr>
        <w:t>Up to three references</w:t>
      </w:r>
      <w:r w:rsidR="00DC6097">
        <w:rPr>
          <w:i/>
          <w:iCs/>
          <w:sz w:val="20"/>
          <w:szCs w:val="20"/>
          <w:lang w:val="en-US"/>
        </w:rPr>
        <w:t xml:space="preserve"> (make sure to link to the online publications)</w:t>
      </w:r>
    </w:p>
    <w:p w14:paraId="7AB91735" w14:textId="1355548A" w:rsidR="00DC6097" w:rsidRPr="00DC6097" w:rsidRDefault="00DC6097" w:rsidP="00DC6097">
      <w:pPr>
        <w:pStyle w:val="ListParagraph"/>
        <w:numPr>
          <w:ilvl w:val="0"/>
          <w:numId w:val="1"/>
        </w:numPr>
        <w:ind w:left="426"/>
        <w:rPr>
          <w:sz w:val="20"/>
          <w:szCs w:val="20"/>
          <w:lang w:val="en-US"/>
        </w:rPr>
      </w:pPr>
      <w:r w:rsidRPr="00DC6097">
        <w:rPr>
          <w:sz w:val="20"/>
          <w:szCs w:val="20"/>
          <w:lang w:val="en-US"/>
        </w:rPr>
        <w:t xml:space="preserve">Yu X, Chan HTC, Orr CM, Dadas O, Booth SG, Dahal LN, Penfold CA, O'Brien L, Mockridge CI, French RR, Duriez P, Douglas LR, Pearson AR, Cragg MS, Tews I, Glennie MJ, White AL. “Complex Interplay between Epitope Specificity and Isotype Dictates the Biological Activity of Anti-human CD40 Antibodies.” Cancer Cell. 2018 Apr 9;33(4):664-675.e4. doi: </w:t>
      </w:r>
      <w:hyperlink r:id="rId8" w:history="1">
        <w:r w:rsidRPr="00DC6097">
          <w:rPr>
            <w:rStyle w:val="Hyperlink"/>
            <w:sz w:val="20"/>
            <w:szCs w:val="20"/>
            <w:lang w:val="en-US"/>
          </w:rPr>
          <w:t>10.1016/j.ccell.2018.02.009</w:t>
        </w:r>
      </w:hyperlink>
      <w:r w:rsidRPr="00DC6097">
        <w:rPr>
          <w:sz w:val="20"/>
          <w:szCs w:val="20"/>
          <w:lang w:val="en-US"/>
        </w:rPr>
        <w:t>.</w:t>
      </w:r>
    </w:p>
    <w:p w14:paraId="34641D91" w14:textId="350601DF" w:rsidR="00DC6097" w:rsidRPr="00DC6097" w:rsidRDefault="00DC6097" w:rsidP="00DC6097">
      <w:pPr>
        <w:pStyle w:val="ListParagraph"/>
        <w:numPr>
          <w:ilvl w:val="0"/>
          <w:numId w:val="1"/>
        </w:numPr>
        <w:ind w:left="426"/>
        <w:rPr>
          <w:sz w:val="20"/>
          <w:szCs w:val="20"/>
          <w:lang w:val="en-US"/>
        </w:rPr>
      </w:pPr>
      <w:r w:rsidRPr="00DC6097">
        <w:rPr>
          <w:sz w:val="20"/>
          <w:szCs w:val="20"/>
          <w:lang w:val="en-US"/>
        </w:rPr>
        <w:t xml:space="preserve">Willoughby J, Griffiths J, Tews I, Cragg MS. “OX40: Structure and function - What questions remain?” Mol Immunol. 2017 Mar;83:13-22. doi: </w:t>
      </w:r>
      <w:hyperlink r:id="rId9" w:history="1">
        <w:r w:rsidRPr="00DC6097">
          <w:rPr>
            <w:rStyle w:val="Hyperlink"/>
            <w:sz w:val="20"/>
            <w:szCs w:val="20"/>
            <w:lang w:val="en-US"/>
          </w:rPr>
          <w:t>10.1016/j.molimm.2017.01.006</w:t>
        </w:r>
      </w:hyperlink>
      <w:r w:rsidRPr="00DC6097">
        <w:rPr>
          <w:sz w:val="20"/>
          <w:szCs w:val="20"/>
          <w:lang w:val="en-US"/>
        </w:rPr>
        <w:t>.</w:t>
      </w:r>
    </w:p>
    <w:p w14:paraId="17F7DECC" w14:textId="11CD60FD" w:rsidR="00187B50" w:rsidRPr="00E72F59" w:rsidRDefault="00DC6097" w:rsidP="00E72F59">
      <w:pPr>
        <w:pStyle w:val="ListParagraph"/>
        <w:numPr>
          <w:ilvl w:val="0"/>
          <w:numId w:val="1"/>
        </w:numPr>
        <w:ind w:left="426"/>
        <w:rPr>
          <w:sz w:val="20"/>
          <w:szCs w:val="20"/>
          <w:lang w:val="en-US"/>
        </w:rPr>
      </w:pPr>
      <w:r w:rsidRPr="00DC6097">
        <w:rPr>
          <w:sz w:val="20"/>
          <w:szCs w:val="20"/>
          <w:lang w:val="en-US"/>
        </w:rPr>
        <w:t xml:space="preserve">Mansour S, Tocheva AS, Cave-Ayland C, Machelett MM, Sander B, Lissin NM, Molloy PE, Baird MS, Stübs G, Schröder NW, Schumann RR, Rademann J, Postle AD, Jakobsen BK, Marshall BG, Gosain R, Elkington PT, Elliott T, Skylaris CK, Essex JW, Tews I, Gadola SD. “Cholesteryl esters stabilize human CD1c conformations for recognition by self-reactive T cells.” Proc Natl Acad Sci U S A. 2016 Mar 1;113(9):E1266-75. doi: </w:t>
      </w:r>
      <w:hyperlink r:id="rId10" w:history="1">
        <w:r w:rsidRPr="00DC6097">
          <w:rPr>
            <w:rStyle w:val="Hyperlink"/>
            <w:sz w:val="20"/>
            <w:szCs w:val="20"/>
            <w:lang w:val="en-US"/>
          </w:rPr>
          <w:t>10.1073/pnas.1519246113</w:t>
        </w:r>
      </w:hyperlink>
      <w:r w:rsidRPr="00DC6097">
        <w:rPr>
          <w:sz w:val="20"/>
          <w:szCs w:val="20"/>
          <w:lang w:val="en-US"/>
        </w:rPr>
        <w:t>.</w:t>
      </w:r>
    </w:p>
    <w:sectPr w:rsidR="00187B50" w:rsidRPr="00E72F59" w:rsidSect="006675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A48CB"/>
    <w:multiLevelType w:val="hybridMultilevel"/>
    <w:tmpl w:val="B2B2F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16C5A"/>
    <w:multiLevelType w:val="hybridMultilevel"/>
    <w:tmpl w:val="53EAB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0823CD"/>
    <w:multiLevelType w:val="hybridMultilevel"/>
    <w:tmpl w:val="5614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E7DC6"/>
    <w:multiLevelType w:val="hybridMultilevel"/>
    <w:tmpl w:val="F130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08"/>
    <w:rsid w:val="00005C97"/>
    <w:rsid w:val="000062C0"/>
    <w:rsid w:val="000136E2"/>
    <w:rsid w:val="00020C23"/>
    <w:rsid w:val="00023C91"/>
    <w:rsid w:val="00041708"/>
    <w:rsid w:val="00047149"/>
    <w:rsid w:val="0005467E"/>
    <w:rsid w:val="000718BD"/>
    <w:rsid w:val="00077FCC"/>
    <w:rsid w:val="000859DC"/>
    <w:rsid w:val="00086AF5"/>
    <w:rsid w:val="00093DB8"/>
    <w:rsid w:val="000A2108"/>
    <w:rsid w:val="000D1D05"/>
    <w:rsid w:val="000D3A90"/>
    <w:rsid w:val="000D698F"/>
    <w:rsid w:val="000E56F8"/>
    <w:rsid w:val="000E6AC7"/>
    <w:rsid w:val="000F2949"/>
    <w:rsid w:val="001026C3"/>
    <w:rsid w:val="001343CE"/>
    <w:rsid w:val="00146EA3"/>
    <w:rsid w:val="00172237"/>
    <w:rsid w:val="00172BAC"/>
    <w:rsid w:val="00180CFB"/>
    <w:rsid w:val="00187B50"/>
    <w:rsid w:val="00196B10"/>
    <w:rsid w:val="001A4F4C"/>
    <w:rsid w:val="001B4675"/>
    <w:rsid w:val="001B6AB5"/>
    <w:rsid w:val="001C1C46"/>
    <w:rsid w:val="001C486E"/>
    <w:rsid w:val="001C5F01"/>
    <w:rsid w:val="001E7139"/>
    <w:rsid w:val="001F3BB4"/>
    <w:rsid w:val="001F6079"/>
    <w:rsid w:val="0022217F"/>
    <w:rsid w:val="002410AF"/>
    <w:rsid w:val="00244F60"/>
    <w:rsid w:val="002747CB"/>
    <w:rsid w:val="002762EF"/>
    <w:rsid w:val="00284CE0"/>
    <w:rsid w:val="002A0378"/>
    <w:rsid w:val="002A2B8A"/>
    <w:rsid w:val="002B0962"/>
    <w:rsid w:val="002B3EDF"/>
    <w:rsid w:val="002B7885"/>
    <w:rsid w:val="002C432C"/>
    <w:rsid w:val="002C595E"/>
    <w:rsid w:val="002D00B1"/>
    <w:rsid w:val="002D144A"/>
    <w:rsid w:val="002D54B7"/>
    <w:rsid w:val="002E0309"/>
    <w:rsid w:val="002F1F25"/>
    <w:rsid w:val="0030685E"/>
    <w:rsid w:val="00314199"/>
    <w:rsid w:val="003160F1"/>
    <w:rsid w:val="00321BDE"/>
    <w:rsid w:val="00321FFB"/>
    <w:rsid w:val="0033205A"/>
    <w:rsid w:val="00333A29"/>
    <w:rsid w:val="00376295"/>
    <w:rsid w:val="00381B1F"/>
    <w:rsid w:val="00385AC3"/>
    <w:rsid w:val="00391910"/>
    <w:rsid w:val="003922C3"/>
    <w:rsid w:val="003A4D0D"/>
    <w:rsid w:val="003A58A9"/>
    <w:rsid w:val="003B00E8"/>
    <w:rsid w:val="003B46F1"/>
    <w:rsid w:val="003B62FF"/>
    <w:rsid w:val="003D1C51"/>
    <w:rsid w:val="003E11D7"/>
    <w:rsid w:val="003E43BE"/>
    <w:rsid w:val="003F4E78"/>
    <w:rsid w:val="004047A8"/>
    <w:rsid w:val="00412C42"/>
    <w:rsid w:val="00451914"/>
    <w:rsid w:val="004536B1"/>
    <w:rsid w:val="004545C3"/>
    <w:rsid w:val="00455406"/>
    <w:rsid w:val="00455DAA"/>
    <w:rsid w:val="00456DC6"/>
    <w:rsid w:val="0046197A"/>
    <w:rsid w:val="004832A9"/>
    <w:rsid w:val="004923AD"/>
    <w:rsid w:val="00492ED2"/>
    <w:rsid w:val="004935F4"/>
    <w:rsid w:val="00496266"/>
    <w:rsid w:val="004B6D5E"/>
    <w:rsid w:val="004C772B"/>
    <w:rsid w:val="0050345A"/>
    <w:rsid w:val="005254A6"/>
    <w:rsid w:val="005325EA"/>
    <w:rsid w:val="0053562B"/>
    <w:rsid w:val="00563997"/>
    <w:rsid w:val="00563F0C"/>
    <w:rsid w:val="0056659B"/>
    <w:rsid w:val="00573D84"/>
    <w:rsid w:val="00576C68"/>
    <w:rsid w:val="00582B9F"/>
    <w:rsid w:val="00584079"/>
    <w:rsid w:val="0058682C"/>
    <w:rsid w:val="005935BA"/>
    <w:rsid w:val="005B464F"/>
    <w:rsid w:val="005C0A96"/>
    <w:rsid w:val="005C33A9"/>
    <w:rsid w:val="005D3CB4"/>
    <w:rsid w:val="005D791F"/>
    <w:rsid w:val="005E30EF"/>
    <w:rsid w:val="005F2451"/>
    <w:rsid w:val="005F249C"/>
    <w:rsid w:val="005F62CE"/>
    <w:rsid w:val="00611E6B"/>
    <w:rsid w:val="00617A66"/>
    <w:rsid w:val="0062678D"/>
    <w:rsid w:val="006273CE"/>
    <w:rsid w:val="00633F1F"/>
    <w:rsid w:val="00644B06"/>
    <w:rsid w:val="006660CF"/>
    <w:rsid w:val="006668B1"/>
    <w:rsid w:val="006675EF"/>
    <w:rsid w:val="00671974"/>
    <w:rsid w:val="00672952"/>
    <w:rsid w:val="006A23DE"/>
    <w:rsid w:val="006B0C15"/>
    <w:rsid w:val="006D27A8"/>
    <w:rsid w:val="006D2E8C"/>
    <w:rsid w:val="006D4780"/>
    <w:rsid w:val="006E4052"/>
    <w:rsid w:val="0070256B"/>
    <w:rsid w:val="007058A7"/>
    <w:rsid w:val="00730241"/>
    <w:rsid w:val="007320AC"/>
    <w:rsid w:val="007356C7"/>
    <w:rsid w:val="00744E46"/>
    <w:rsid w:val="00753E6B"/>
    <w:rsid w:val="0076072F"/>
    <w:rsid w:val="00761A56"/>
    <w:rsid w:val="00774BA4"/>
    <w:rsid w:val="00781114"/>
    <w:rsid w:val="0079331A"/>
    <w:rsid w:val="007A3E51"/>
    <w:rsid w:val="007A4358"/>
    <w:rsid w:val="007A4DDF"/>
    <w:rsid w:val="007D3883"/>
    <w:rsid w:val="007F40B7"/>
    <w:rsid w:val="007F4EA2"/>
    <w:rsid w:val="00806DF6"/>
    <w:rsid w:val="00826F7F"/>
    <w:rsid w:val="008610C0"/>
    <w:rsid w:val="00861AE7"/>
    <w:rsid w:val="00887B0D"/>
    <w:rsid w:val="00896A0A"/>
    <w:rsid w:val="008A5AF6"/>
    <w:rsid w:val="008B087B"/>
    <w:rsid w:val="008B23D7"/>
    <w:rsid w:val="008C12A2"/>
    <w:rsid w:val="008C5465"/>
    <w:rsid w:val="008D537F"/>
    <w:rsid w:val="008D716F"/>
    <w:rsid w:val="008D75B9"/>
    <w:rsid w:val="008E7A81"/>
    <w:rsid w:val="008F3FA8"/>
    <w:rsid w:val="008F6F39"/>
    <w:rsid w:val="0090010F"/>
    <w:rsid w:val="009030AE"/>
    <w:rsid w:val="00904CA6"/>
    <w:rsid w:val="00907C31"/>
    <w:rsid w:val="0093437C"/>
    <w:rsid w:val="00934A2B"/>
    <w:rsid w:val="009452C5"/>
    <w:rsid w:val="009517C0"/>
    <w:rsid w:val="00961F27"/>
    <w:rsid w:val="0097284F"/>
    <w:rsid w:val="00974B37"/>
    <w:rsid w:val="00975F69"/>
    <w:rsid w:val="0098390B"/>
    <w:rsid w:val="009A0FE1"/>
    <w:rsid w:val="009A5CDA"/>
    <w:rsid w:val="009A73E9"/>
    <w:rsid w:val="009B386B"/>
    <w:rsid w:val="009B3939"/>
    <w:rsid w:val="009E7FD1"/>
    <w:rsid w:val="009F18FA"/>
    <w:rsid w:val="00A06E66"/>
    <w:rsid w:val="00A2224A"/>
    <w:rsid w:val="00A22ADC"/>
    <w:rsid w:val="00A31AC6"/>
    <w:rsid w:val="00A33810"/>
    <w:rsid w:val="00A36987"/>
    <w:rsid w:val="00A3772C"/>
    <w:rsid w:val="00A47EAF"/>
    <w:rsid w:val="00A56FC0"/>
    <w:rsid w:val="00A70FEF"/>
    <w:rsid w:val="00A76C64"/>
    <w:rsid w:val="00A869AC"/>
    <w:rsid w:val="00A90855"/>
    <w:rsid w:val="00AA325B"/>
    <w:rsid w:val="00AA59C5"/>
    <w:rsid w:val="00AC08FB"/>
    <w:rsid w:val="00AC209A"/>
    <w:rsid w:val="00AC7569"/>
    <w:rsid w:val="00AD015B"/>
    <w:rsid w:val="00AF24CF"/>
    <w:rsid w:val="00AF2511"/>
    <w:rsid w:val="00AF39CA"/>
    <w:rsid w:val="00AF3DCC"/>
    <w:rsid w:val="00B0130F"/>
    <w:rsid w:val="00B01598"/>
    <w:rsid w:val="00B21E08"/>
    <w:rsid w:val="00B2516B"/>
    <w:rsid w:val="00B3067F"/>
    <w:rsid w:val="00B333FD"/>
    <w:rsid w:val="00B3414A"/>
    <w:rsid w:val="00B36A89"/>
    <w:rsid w:val="00B37490"/>
    <w:rsid w:val="00B428CB"/>
    <w:rsid w:val="00B50394"/>
    <w:rsid w:val="00B63ADC"/>
    <w:rsid w:val="00B6472B"/>
    <w:rsid w:val="00B83D94"/>
    <w:rsid w:val="00BA054B"/>
    <w:rsid w:val="00BA1CFF"/>
    <w:rsid w:val="00BA6627"/>
    <w:rsid w:val="00BA7457"/>
    <w:rsid w:val="00BB6F62"/>
    <w:rsid w:val="00BC48F2"/>
    <w:rsid w:val="00BD2587"/>
    <w:rsid w:val="00BD4133"/>
    <w:rsid w:val="00BE44E9"/>
    <w:rsid w:val="00BE7AB5"/>
    <w:rsid w:val="00BF795E"/>
    <w:rsid w:val="00C06BD3"/>
    <w:rsid w:val="00C10067"/>
    <w:rsid w:val="00C2410D"/>
    <w:rsid w:val="00C768DD"/>
    <w:rsid w:val="00CA3A11"/>
    <w:rsid w:val="00CA7DD0"/>
    <w:rsid w:val="00CE279A"/>
    <w:rsid w:val="00CF3EE8"/>
    <w:rsid w:val="00D05C7C"/>
    <w:rsid w:val="00D17C8F"/>
    <w:rsid w:val="00D229AC"/>
    <w:rsid w:val="00D30AB9"/>
    <w:rsid w:val="00D312B2"/>
    <w:rsid w:val="00D33863"/>
    <w:rsid w:val="00D45082"/>
    <w:rsid w:val="00D4621F"/>
    <w:rsid w:val="00D64F45"/>
    <w:rsid w:val="00D853AE"/>
    <w:rsid w:val="00D94C64"/>
    <w:rsid w:val="00DB2CBC"/>
    <w:rsid w:val="00DB3EE3"/>
    <w:rsid w:val="00DB5AF1"/>
    <w:rsid w:val="00DC3B50"/>
    <w:rsid w:val="00DC6097"/>
    <w:rsid w:val="00DC6271"/>
    <w:rsid w:val="00DF0F6E"/>
    <w:rsid w:val="00DF7D7C"/>
    <w:rsid w:val="00E02DC5"/>
    <w:rsid w:val="00E17BB0"/>
    <w:rsid w:val="00E2457C"/>
    <w:rsid w:val="00E324FC"/>
    <w:rsid w:val="00E446EF"/>
    <w:rsid w:val="00E54F13"/>
    <w:rsid w:val="00E554F8"/>
    <w:rsid w:val="00E71B5A"/>
    <w:rsid w:val="00E72F59"/>
    <w:rsid w:val="00E86762"/>
    <w:rsid w:val="00E86768"/>
    <w:rsid w:val="00E95409"/>
    <w:rsid w:val="00E957CB"/>
    <w:rsid w:val="00EA40C2"/>
    <w:rsid w:val="00EA4C43"/>
    <w:rsid w:val="00EC6363"/>
    <w:rsid w:val="00ED3863"/>
    <w:rsid w:val="00ED763F"/>
    <w:rsid w:val="00EE23B3"/>
    <w:rsid w:val="00EF4DAB"/>
    <w:rsid w:val="00EF6211"/>
    <w:rsid w:val="00F02C4A"/>
    <w:rsid w:val="00F15DA3"/>
    <w:rsid w:val="00F26803"/>
    <w:rsid w:val="00F26A6A"/>
    <w:rsid w:val="00F33FAD"/>
    <w:rsid w:val="00F544C8"/>
    <w:rsid w:val="00F56174"/>
    <w:rsid w:val="00F67071"/>
    <w:rsid w:val="00F751EF"/>
    <w:rsid w:val="00F75573"/>
    <w:rsid w:val="00F82082"/>
    <w:rsid w:val="00FA2420"/>
    <w:rsid w:val="00FA3AD4"/>
    <w:rsid w:val="00FC147A"/>
    <w:rsid w:val="00FC30CC"/>
    <w:rsid w:val="00FD073F"/>
    <w:rsid w:val="00FE4AA9"/>
    <w:rsid w:val="00FF1D58"/>
    <w:rsid w:val="00FF4DDF"/>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4EF4"/>
  <w15:chartTrackingRefBased/>
  <w15:docId w15:val="{709498FA-5C67-E94E-8469-54369863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3E9"/>
    <w:rPr>
      <w:color w:val="0563C1" w:themeColor="hyperlink"/>
      <w:u w:val="single"/>
    </w:rPr>
  </w:style>
  <w:style w:type="character" w:styleId="UnresolvedMention">
    <w:name w:val="Unresolved Mention"/>
    <w:basedOn w:val="DefaultParagraphFont"/>
    <w:uiPriority w:val="99"/>
    <w:semiHidden/>
    <w:unhideWhenUsed/>
    <w:rsid w:val="009A73E9"/>
    <w:rPr>
      <w:color w:val="605E5C"/>
      <w:shd w:val="clear" w:color="auto" w:fill="E1DFDD"/>
    </w:rPr>
  </w:style>
  <w:style w:type="character" w:customStyle="1" w:styleId="None">
    <w:name w:val="None"/>
    <w:rsid w:val="004923AD"/>
  </w:style>
  <w:style w:type="paragraph" w:styleId="ListParagraph">
    <w:name w:val="List Paragraph"/>
    <w:basedOn w:val="Normal"/>
    <w:uiPriority w:val="34"/>
    <w:qFormat/>
    <w:rsid w:val="00187B50"/>
    <w:pPr>
      <w:ind w:left="720"/>
      <w:contextualSpacing/>
    </w:pPr>
  </w:style>
  <w:style w:type="character" w:customStyle="1" w:styleId="labs-docsum-authors">
    <w:name w:val="labs-docsum-authors"/>
    <w:basedOn w:val="DefaultParagraphFont"/>
    <w:rsid w:val="00DC6097"/>
  </w:style>
  <w:style w:type="character" w:customStyle="1" w:styleId="apple-converted-space">
    <w:name w:val="apple-converted-space"/>
    <w:basedOn w:val="DefaultParagraphFont"/>
    <w:rsid w:val="00DC6097"/>
  </w:style>
  <w:style w:type="character" w:styleId="FollowedHyperlink">
    <w:name w:val="FollowedHyperlink"/>
    <w:basedOn w:val="DefaultParagraphFont"/>
    <w:uiPriority w:val="99"/>
    <w:semiHidden/>
    <w:unhideWhenUsed/>
    <w:rsid w:val="00DC6097"/>
    <w:rPr>
      <w:color w:val="954F72" w:themeColor="followedHyperlink"/>
      <w:u w:val="single"/>
    </w:rPr>
  </w:style>
  <w:style w:type="character" w:customStyle="1" w:styleId="labs-docsum-journal-citation">
    <w:name w:val="labs-docsum-journal-citation"/>
    <w:basedOn w:val="DefaultParagraphFont"/>
    <w:rsid w:val="00DC6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0420">
      <w:bodyDiv w:val="1"/>
      <w:marLeft w:val="0"/>
      <w:marRight w:val="0"/>
      <w:marTop w:val="0"/>
      <w:marBottom w:val="0"/>
      <w:divBdr>
        <w:top w:val="none" w:sz="0" w:space="0" w:color="auto"/>
        <w:left w:val="none" w:sz="0" w:space="0" w:color="auto"/>
        <w:bottom w:val="none" w:sz="0" w:space="0" w:color="auto"/>
        <w:right w:val="none" w:sz="0" w:space="0" w:color="auto"/>
      </w:divBdr>
    </w:div>
    <w:div w:id="176043623">
      <w:bodyDiv w:val="1"/>
      <w:marLeft w:val="0"/>
      <w:marRight w:val="0"/>
      <w:marTop w:val="0"/>
      <w:marBottom w:val="0"/>
      <w:divBdr>
        <w:top w:val="none" w:sz="0" w:space="0" w:color="auto"/>
        <w:left w:val="none" w:sz="0" w:space="0" w:color="auto"/>
        <w:bottom w:val="none" w:sz="0" w:space="0" w:color="auto"/>
        <w:right w:val="none" w:sz="0" w:space="0" w:color="auto"/>
      </w:divBdr>
    </w:div>
    <w:div w:id="1238444978">
      <w:bodyDiv w:val="1"/>
      <w:marLeft w:val="0"/>
      <w:marRight w:val="0"/>
      <w:marTop w:val="0"/>
      <w:marBottom w:val="0"/>
      <w:divBdr>
        <w:top w:val="none" w:sz="0" w:space="0" w:color="auto"/>
        <w:left w:val="none" w:sz="0" w:space="0" w:color="auto"/>
        <w:bottom w:val="none" w:sz="0" w:space="0" w:color="auto"/>
        <w:right w:val="none" w:sz="0" w:space="0" w:color="auto"/>
      </w:divBdr>
      <w:divsChild>
        <w:div w:id="1738940627">
          <w:marLeft w:val="0"/>
          <w:marRight w:val="0"/>
          <w:marTop w:val="0"/>
          <w:marBottom w:val="0"/>
          <w:divBdr>
            <w:top w:val="none" w:sz="0" w:space="0" w:color="auto"/>
            <w:left w:val="none" w:sz="0" w:space="0" w:color="auto"/>
            <w:bottom w:val="none" w:sz="0" w:space="0" w:color="auto"/>
            <w:right w:val="none" w:sz="0" w:space="0" w:color="auto"/>
          </w:divBdr>
        </w:div>
      </w:divsChild>
    </w:div>
    <w:div w:id="1252812113">
      <w:bodyDiv w:val="1"/>
      <w:marLeft w:val="0"/>
      <w:marRight w:val="0"/>
      <w:marTop w:val="0"/>
      <w:marBottom w:val="0"/>
      <w:divBdr>
        <w:top w:val="none" w:sz="0" w:space="0" w:color="auto"/>
        <w:left w:val="none" w:sz="0" w:space="0" w:color="auto"/>
        <w:bottom w:val="none" w:sz="0" w:space="0" w:color="auto"/>
        <w:right w:val="none" w:sz="0" w:space="0" w:color="auto"/>
      </w:divBdr>
      <w:divsChild>
        <w:div w:id="1828940306">
          <w:marLeft w:val="0"/>
          <w:marRight w:val="0"/>
          <w:marTop w:val="0"/>
          <w:marBottom w:val="0"/>
          <w:divBdr>
            <w:top w:val="none" w:sz="0" w:space="0" w:color="auto"/>
            <w:left w:val="none" w:sz="0" w:space="0" w:color="auto"/>
            <w:bottom w:val="none" w:sz="0" w:space="0" w:color="auto"/>
            <w:right w:val="none" w:sz="0" w:space="0" w:color="auto"/>
          </w:divBdr>
        </w:div>
      </w:divsChild>
    </w:div>
    <w:div w:id="1294604572">
      <w:bodyDiv w:val="1"/>
      <w:marLeft w:val="0"/>
      <w:marRight w:val="0"/>
      <w:marTop w:val="0"/>
      <w:marBottom w:val="0"/>
      <w:divBdr>
        <w:top w:val="none" w:sz="0" w:space="0" w:color="auto"/>
        <w:left w:val="none" w:sz="0" w:space="0" w:color="auto"/>
        <w:bottom w:val="none" w:sz="0" w:space="0" w:color="auto"/>
        <w:right w:val="none" w:sz="0" w:space="0" w:color="auto"/>
      </w:divBdr>
      <w:divsChild>
        <w:div w:id="525411813">
          <w:marLeft w:val="0"/>
          <w:marRight w:val="0"/>
          <w:marTop w:val="0"/>
          <w:marBottom w:val="0"/>
          <w:divBdr>
            <w:top w:val="none" w:sz="0" w:space="0" w:color="auto"/>
            <w:left w:val="none" w:sz="0" w:space="0" w:color="auto"/>
            <w:bottom w:val="none" w:sz="0" w:space="0" w:color="auto"/>
            <w:right w:val="none" w:sz="0" w:space="0" w:color="auto"/>
          </w:divBdr>
        </w:div>
      </w:divsChild>
    </w:div>
    <w:div w:id="1446994974">
      <w:bodyDiv w:val="1"/>
      <w:marLeft w:val="0"/>
      <w:marRight w:val="0"/>
      <w:marTop w:val="0"/>
      <w:marBottom w:val="0"/>
      <w:divBdr>
        <w:top w:val="none" w:sz="0" w:space="0" w:color="auto"/>
        <w:left w:val="none" w:sz="0" w:space="0" w:color="auto"/>
        <w:bottom w:val="none" w:sz="0" w:space="0" w:color="auto"/>
        <w:right w:val="none" w:sz="0" w:space="0" w:color="auto"/>
      </w:divBdr>
    </w:div>
    <w:div w:id="1657108513">
      <w:bodyDiv w:val="1"/>
      <w:marLeft w:val="0"/>
      <w:marRight w:val="0"/>
      <w:marTop w:val="0"/>
      <w:marBottom w:val="0"/>
      <w:divBdr>
        <w:top w:val="none" w:sz="0" w:space="0" w:color="auto"/>
        <w:left w:val="none" w:sz="0" w:space="0" w:color="auto"/>
        <w:bottom w:val="none" w:sz="0" w:space="0" w:color="auto"/>
        <w:right w:val="none" w:sz="0" w:space="0" w:color="auto"/>
      </w:divBdr>
      <w:divsChild>
        <w:div w:id="1593001995">
          <w:marLeft w:val="0"/>
          <w:marRight w:val="0"/>
          <w:marTop w:val="0"/>
          <w:marBottom w:val="0"/>
          <w:divBdr>
            <w:top w:val="none" w:sz="0" w:space="0" w:color="auto"/>
            <w:left w:val="none" w:sz="0" w:space="0" w:color="auto"/>
            <w:bottom w:val="none" w:sz="0" w:space="0" w:color="auto"/>
            <w:right w:val="none" w:sz="0" w:space="0" w:color="auto"/>
          </w:divBdr>
        </w:div>
      </w:divsChild>
    </w:div>
    <w:div w:id="1999645706">
      <w:bodyDiv w:val="1"/>
      <w:marLeft w:val="0"/>
      <w:marRight w:val="0"/>
      <w:marTop w:val="0"/>
      <w:marBottom w:val="0"/>
      <w:divBdr>
        <w:top w:val="none" w:sz="0" w:space="0" w:color="auto"/>
        <w:left w:val="none" w:sz="0" w:space="0" w:color="auto"/>
        <w:bottom w:val="none" w:sz="0" w:space="0" w:color="auto"/>
        <w:right w:val="none" w:sz="0" w:space="0" w:color="auto"/>
      </w:divBdr>
    </w:div>
    <w:div w:id="210010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53561081830062X?via%3Dihub" TargetMode="External"/><Relationship Id="rId3" Type="http://schemas.openxmlformats.org/officeDocument/2006/relationships/styles" Target="styles.xml"/><Relationship Id="rId7" Type="http://schemas.openxmlformats.org/officeDocument/2006/relationships/hyperlink" Target="https://www.sciencedirect.com/science/article/pii/S0006349518306660?via%3Dihub"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nas.org/content/113/9/E1266" TargetMode="External"/><Relationship Id="rId4" Type="http://schemas.openxmlformats.org/officeDocument/2006/relationships/settings" Target="settings.xml"/><Relationship Id="rId9" Type="http://schemas.openxmlformats.org/officeDocument/2006/relationships/hyperlink" Target="https://www.sciencedirect.com/science/article/pii/S0161589017300068?via%3Di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45A11-68C5-D645-9632-9A472B51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Tews I.</dc:creator>
  <cp:keywords/>
  <dc:description/>
  <cp:lastModifiedBy>Raj Gill</cp:lastModifiedBy>
  <cp:revision>15</cp:revision>
  <dcterms:created xsi:type="dcterms:W3CDTF">2020-06-06T09:37:00Z</dcterms:created>
  <dcterms:modified xsi:type="dcterms:W3CDTF">2021-06-19T10:10:00Z</dcterms:modified>
</cp:coreProperties>
</file>